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5"/>
        <w:spacing w:before="112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附</w:t>
      </w:r>
      <w:r>
        <w:rPr>
          <w:rFonts w:ascii="SimSun" w:hAnsi="SimSun" w:eastAsia="SimSun" w:cs="SimSun"/>
          <w:sz w:val="21"/>
          <w:szCs w:val="21"/>
          <w:spacing w:val="-5"/>
        </w:rPr>
        <w:t>件1：</w:t>
      </w:r>
    </w:p>
    <w:p>
      <w:pPr>
        <w:ind w:left="3679"/>
        <w:spacing w:before="145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宿迁市</w:t>
      </w:r>
      <w:r>
        <w:rPr>
          <w:rFonts w:ascii="SimSun" w:hAnsi="SimSun" w:eastAsia="SimSun" w:cs="SimSun"/>
          <w:sz w:val="31"/>
          <w:szCs w:val="31"/>
          <w:spacing w:val="6"/>
        </w:rPr>
        <w:t>中</w:t>
      </w:r>
      <w:r>
        <w:rPr>
          <w:rFonts w:ascii="SimSun" w:hAnsi="SimSun" w:eastAsia="SimSun" w:cs="SimSun"/>
          <w:sz w:val="31"/>
          <w:szCs w:val="31"/>
          <w:spacing w:val="5"/>
        </w:rPr>
        <w:t>医院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SimSun" w:hAnsi="SimSun" w:eastAsia="SimSun" w:cs="SimSun"/>
          <w:sz w:val="31"/>
          <w:szCs w:val="31"/>
          <w:spacing w:val="5"/>
        </w:rPr>
        <w:t>年招聘硕士研究生人才岗位简介表</w:t>
      </w:r>
    </w:p>
    <w:p>
      <w:pPr>
        <w:spacing w:line="75" w:lineRule="exact"/>
        <w:rPr/>
      </w:pPr>
      <w:r/>
    </w:p>
    <w:tbl>
      <w:tblPr>
        <w:tblStyle w:val="2"/>
        <w:tblW w:w="14593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2"/>
        <w:gridCol w:w="938"/>
        <w:gridCol w:w="628"/>
        <w:gridCol w:w="628"/>
        <w:gridCol w:w="628"/>
        <w:gridCol w:w="974"/>
        <w:gridCol w:w="3969"/>
        <w:gridCol w:w="1273"/>
        <w:gridCol w:w="1192"/>
        <w:gridCol w:w="3322"/>
        <w:gridCol w:w="579"/>
      </w:tblGrid>
      <w:tr>
        <w:trPr>
          <w:trHeight w:val="558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序号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14" w:line="19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3"/>
              </w:rPr>
              <w:t>招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  <w:position w:val="3"/>
              </w:rPr>
              <w:t>聘</w:t>
            </w:r>
          </w:p>
          <w:p>
            <w:pPr>
              <w:ind w:left="339"/>
              <w:spacing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岗位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/>
              <w:spacing w:before="124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岗位</w:t>
            </w:r>
          </w:p>
          <w:p>
            <w:pPr>
              <w:ind w:left="170"/>
              <w:spacing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类别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6"/>
              <w:spacing w:before="124" w:line="23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5"/>
              </w:rPr>
              <w:t>岗位</w:t>
            </w:r>
          </w:p>
          <w:p>
            <w:pPr>
              <w:ind w:left="170"/>
              <w:spacing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代码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2"/>
              <w:spacing w:before="114" w:line="192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3"/>
              </w:rPr>
              <w:t>招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  <w:position w:val="3"/>
              </w:rPr>
              <w:t>聘</w:t>
            </w:r>
          </w:p>
          <w:p>
            <w:pPr>
              <w:ind w:left="173"/>
              <w:spacing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人数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9"/>
              <w:spacing w:before="215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年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龄要求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7"/>
              <w:spacing w:before="21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业要求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历要求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职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称要求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1"/>
              <w:spacing w:before="21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其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他要求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备注</w:t>
            </w:r>
          </w:p>
        </w:tc>
      </w:tr>
      <w:tr>
        <w:trPr>
          <w:trHeight w:val="563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1"/>
              <w:spacing w:before="228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14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老年科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4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28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01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228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14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医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内科学、中西医结合临床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4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4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1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1"/>
              <w:spacing w:before="215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泌尿外科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02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3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" w:right="147" w:firstLine="10"/>
              <w:spacing w:before="126" w:line="24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中医外科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(泌尿外科疾病方向)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(泌尿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外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科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疾病方向)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5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5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1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3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6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骨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伤科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03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4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16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中医骨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伤科学、中西医结合临床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(骨科疾病方向)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6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6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2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/>
              <w:spacing w:before="215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内分泌科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04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9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4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" w:right="294" w:firstLine="6"/>
              <w:spacing w:before="127" w:line="24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中医内科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(内分泌代谢性疾病方向)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内分泌代谢性疾病方向)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5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5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2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232" w:line="191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5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216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肾</w:t>
            </w:r>
            <w:r>
              <w:rPr>
                <w:rFonts w:ascii="SimSun" w:hAnsi="SimSun" w:eastAsia="SimSun" w:cs="SimSun"/>
                <w:sz w:val="14"/>
                <w:szCs w:val="14"/>
              </w:rPr>
              <w:t>病科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3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05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 w:right="292" w:hanging="1"/>
              <w:spacing w:before="128" w:line="25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中医内科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(肾脏病方向)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(肾脏病方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8"/>
              </w:rPr>
              <w:t>向</w:t>
            </w:r>
            <w:r>
              <w:rPr>
                <w:rFonts w:ascii="SimSun" w:hAnsi="SimSun" w:eastAsia="SimSun" w:cs="SimSun"/>
                <w:sz w:val="14"/>
                <w:szCs w:val="14"/>
                <w:spacing w:val="-7"/>
              </w:rPr>
              <w:t>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6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6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3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6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8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儿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06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8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儿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科学、中西医结合临床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(儿科疾病方向)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7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4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9"/>
              <w:spacing w:before="232" w:line="191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7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脑病科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3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07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9"/>
              <w:spacing w:before="23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2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内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科学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(脑病方向)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(脑病方向)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7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4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9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4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8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325" w:right="79" w:hanging="235"/>
              <w:spacing w:before="46" w:line="27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诊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</w:rPr>
              <w:t>/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重症医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70"/>
              <w:spacing w:before="4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45"/>
              <w:spacing w:before="4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08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4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4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45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right="147" w:firstLine="14"/>
              <w:spacing w:before="118" w:line="24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中医内科学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(急诊医学、危急重症疾病、心血管疾病、呼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吸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系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统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疾病、消化系统疾病方向)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(急诊医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学、危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急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重症疾病、心血管疾病、呼吸系统疾病、消化系统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疾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病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方向)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、急诊医学、重症医学、内科学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(心血管疾病、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呼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吸系统疾病、消化系统疾病方向)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ind w:left="61"/>
              <w:spacing w:before="45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46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0"/>
              <w:spacing w:before="46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9" w:line="185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3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0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9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心血管科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1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09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1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08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right="147" w:firstLine="14"/>
              <w:spacing w:before="127" w:line="231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中医内科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(心血管疾病方向)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、中西医结合临床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(心血管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疾病方向)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、内科学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5"/>
              </w:rPr>
              <w:t>(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心血管疾病方向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</w:rPr>
              <w:t>)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1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17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114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</w:p>
          <w:p>
            <w:pPr>
              <w:ind w:left="26"/>
              <w:spacing w:before="12" w:line="18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3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  <w:position w:val="1"/>
              </w:rPr>
              <w:t>、取得住院医师规范化培训合格证</w:t>
            </w:r>
            <w:r>
              <w:rPr>
                <w:rFonts w:ascii="SimSun" w:hAnsi="SimSun" w:eastAsia="SimSun" w:cs="SimSun"/>
                <w:sz w:val="14"/>
                <w:szCs w:val="14"/>
                <w:position w:val="1"/>
              </w:rPr>
              <w:t>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4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28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0</w:t>
            </w:r>
          </w:p>
        </w:tc>
        <w:tc>
          <w:tcPr>
            <w:tcW w:w="9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0"/>
              <w:spacing w:before="26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病理科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66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技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/>
              <w:spacing w:before="28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0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80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>1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257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35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周岁及以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下</w:t>
            </w:r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" w:right="148" w:firstLine="5"/>
              <w:spacing w:before="178" w:line="25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临床医学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(病理学方向)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、临床病理学、病理学与病理生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理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学</w:t>
            </w:r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"/>
              <w:spacing w:before="267" w:line="22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硕士研究生及以上</w:t>
            </w:r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"/>
              <w:spacing w:before="266" w:line="22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住院医师及以上</w:t>
            </w:r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" w:right="6" w:firstLine="14"/>
              <w:spacing w:before="74" w:line="25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2023</w:t>
            </w: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届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应届毕业生及择业期内未就业毕业生；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、执业医师证须为病理诊断方向、取得住院医师</w:t>
            </w:r>
            <w:r>
              <w:rPr>
                <w:rFonts w:ascii="SimSun" w:hAnsi="SimSun" w:eastAsia="SimSun" w:cs="SimSun"/>
                <w:sz w:val="14"/>
                <w:szCs w:val="14"/>
                <w:spacing w:val="1"/>
              </w:rPr>
              <w:t>规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8"/>
              </w:rPr>
              <w:t>范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化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培训合格证。</w:t>
            </w:r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9" w:hRule="atLeast"/>
        </w:trPr>
        <w:tc>
          <w:tcPr>
            <w:tcW w:w="2656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9"/>
              <w:spacing w:before="219" w:line="22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合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>计</w:t>
            </w:r>
          </w:p>
        </w:tc>
        <w:tc>
          <w:tcPr>
            <w:tcW w:w="6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232" w:line="194" w:lineRule="auto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spacing w:val="-5"/>
              </w:rPr>
              <w:t>7</w:t>
            </w:r>
          </w:p>
        </w:tc>
        <w:tc>
          <w:tcPr>
            <w:tcW w:w="9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227" w:bottom="0" w:left="10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2023-03-15T13:33:24Z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2023-03-15T13:33:36</vt:filetime>
  </op:property>
</op:Properties>
</file>